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E3A" w:rsidRDefault="00CD1E3A" w:rsidP="00CD1E3A">
      <w:pPr>
        <w:pStyle w:val="Heading1"/>
        <w:numPr>
          <w:ilvl w:val="0"/>
          <w:numId w:val="0"/>
        </w:numPr>
        <w:ind w:left="238"/>
        <w:jc w:val="center"/>
        <w:rPr>
          <w:rFonts w:asciiTheme="minorBidi" w:hAnsiTheme="minorBidi" w:cstheme="minorBidi"/>
        </w:rPr>
      </w:pPr>
      <w:proofErr w:type="spellStart"/>
      <w:r w:rsidRPr="000D16CA">
        <w:rPr>
          <w:rFonts w:asciiTheme="minorBidi" w:hAnsiTheme="minorBidi" w:cstheme="minorBidi"/>
        </w:rPr>
        <w:t>Exadata</w:t>
      </w:r>
      <w:proofErr w:type="spellEnd"/>
      <w:r w:rsidRPr="000D16CA">
        <w:rPr>
          <w:rFonts w:asciiTheme="minorBidi" w:hAnsiTheme="minorBidi" w:cstheme="minorBidi"/>
        </w:rPr>
        <w:t xml:space="preserve"> Machine and Oracle Licenses RFP</w:t>
      </w:r>
    </w:p>
    <w:p w:rsidR="00FC045C" w:rsidRDefault="00FC045C" w:rsidP="00FC045C">
      <w:pPr>
        <w:tabs>
          <w:tab w:val="left" w:pos="1284"/>
        </w:tabs>
        <w:contextualSpacing/>
        <w:jc w:val="both"/>
        <w:rPr>
          <w:b/>
          <w:bCs/>
          <w:sz w:val="24"/>
          <w:szCs w:val="24"/>
          <w:u w:val="single"/>
        </w:rPr>
      </w:pPr>
    </w:p>
    <w:p w:rsidR="003074B9" w:rsidRPr="003074B9" w:rsidRDefault="003074B9" w:rsidP="003074B9">
      <w:pPr>
        <w:tabs>
          <w:tab w:val="left" w:pos="1284"/>
        </w:tabs>
        <w:contextualSpacing/>
        <w:jc w:val="center"/>
        <w:rPr>
          <w:rFonts w:asciiTheme="minorBidi" w:eastAsia="Times New Roman" w:hAnsiTheme="minorBidi"/>
          <w:b/>
          <w:bCs/>
          <w:kern w:val="28"/>
          <w:sz w:val="28"/>
          <w:szCs w:val="28"/>
          <w:lang w:eastAsia="fr-FR"/>
        </w:rPr>
      </w:pPr>
      <w:r w:rsidRPr="003074B9">
        <w:rPr>
          <w:rFonts w:asciiTheme="minorBidi" w:eastAsia="Times New Roman" w:hAnsiTheme="minorBidi"/>
          <w:b/>
          <w:bCs/>
          <w:kern w:val="28"/>
          <w:sz w:val="28"/>
          <w:szCs w:val="28"/>
          <w:lang w:eastAsia="fr-FR"/>
        </w:rPr>
        <w:t xml:space="preserve">Bill </w:t>
      </w:r>
      <w:proofErr w:type="gramStart"/>
      <w:r w:rsidRPr="003074B9">
        <w:rPr>
          <w:rFonts w:asciiTheme="minorBidi" w:eastAsia="Times New Roman" w:hAnsiTheme="minorBidi"/>
          <w:b/>
          <w:bCs/>
          <w:kern w:val="28"/>
          <w:sz w:val="28"/>
          <w:szCs w:val="28"/>
          <w:lang w:eastAsia="fr-FR"/>
        </w:rPr>
        <w:t>Of</w:t>
      </w:r>
      <w:proofErr w:type="gramEnd"/>
      <w:r w:rsidRPr="003074B9">
        <w:rPr>
          <w:rFonts w:asciiTheme="minorBidi" w:eastAsia="Times New Roman" w:hAnsiTheme="minorBidi"/>
          <w:b/>
          <w:bCs/>
          <w:kern w:val="28"/>
          <w:sz w:val="28"/>
          <w:szCs w:val="28"/>
          <w:lang w:eastAsia="fr-FR"/>
        </w:rPr>
        <w:t xml:space="preserve"> Quantity</w:t>
      </w:r>
    </w:p>
    <w:p w:rsidR="003074B9" w:rsidRDefault="003074B9" w:rsidP="00F41711">
      <w:pPr>
        <w:tabs>
          <w:tab w:val="left" w:pos="1284"/>
        </w:tabs>
        <w:contextualSpacing/>
        <w:jc w:val="both"/>
        <w:rPr>
          <w:sz w:val="24"/>
          <w:szCs w:val="24"/>
        </w:rPr>
      </w:pPr>
    </w:p>
    <w:p w:rsidR="00BD7407" w:rsidRPr="00F41711" w:rsidRDefault="00F41711" w:rsidP="00F41711">
      <w:pPr>
        <w:tabs>
          <w:tab w:val="left" w:pos="1284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The Bidder should respect all clauses mentioned in this document. Any candidature not compliant with any of the below clauses will be excluded.</w:t>
      </w:r>
    </w:p>
    <w:p w:rsidR="00BD7407" w:rsidRDefault="00BD7407" w:rsidP="00FC045C">
      <w:pPr>
        <w:tabs>
          <w:tab w:val="left" w:pos="1284"/>
        </w:tabs>
        <w:contextualSpacing/>
        <w:jc w:val="both"/>
        <w:rPr>
          <w:b/>
          <w:bCs/>
          <w:sz w:val="24"/>
          <w:szCs w:val="24"/>
          <w:u w:val="single"/>
        </w:rPr>
      </w:pPr>
    </w:p>
    <w:p w:rsidR="002E2F8F" w:rsidRPr="0061097B" w:rsidRDefault="002E2F8F" w:rsidP="0061097B">
      <w:pPr>
        <w:pStyle w:val="Heading2"/>
      </w:pPr>
      <w:r w:rsidRPr="0061097B">
        <w:t>H</w:t>
      </w:r>
      <w:r w:rsidR="00DB5631" w:rsidRPr="0061097B">
        <w:t>ardware</w:t>
      </w:r>
      <w:r w:rsidRPr="0061097B">
        <w:t xml:space="preserve"> </w:t>
      </w:r>
      <w:r w:rsidR="0061097B" w:rsidRPr="0061097B">
        <w:t>Requirements</w:t>
      </w:r>
    </w:p>
    <w:p w:rsidR="008126AE" w:rsidRPr="006B208D" w:rsidRDefault="008126AE" w:rsidP="00DB5631">
      <w:pPr>
        <w:keepNext/>
        <w:rPr>
          <w:sz w:val="24"/>
          <w:szCs w:val="24"/>
          <w:lang w:eastAsia="fr-FR"/>
        </w:rPr>
      </w:pPr>
      <w:r w:rsidRPr="006B208D">
        <w:rPr>
          <w:sz w:val="24"/>
          <w:szCs w:val="24"/>
          <w:lang w:eastAsia="fr-FR"/>
        </w:rPr>
        <w:t>Below are the required Hardware specifications and quantities: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4675"/>
        <w:gridCol w:w="3125"/>
        <w:gridCol w:w="1840"/>
      </w:tblGrid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:rsidR="00DB5631" w:rsidRPr="00422E18" w:rsidRDefault="00DB5631" w:rsidP="00DB5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2E18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>
              <w:rPr>
                <w:rFonts w:ascii="Calibri" w:eastAsia="Times New Roman" w:hAnsi="Calibri" w:cs="Calibri"/>
                <w:color w:val="FF0000"/>
              </w:rPr>
              <w:t>QTY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1.0 -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Database Machine X10M: model family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1.1 -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Database Machine X10M High Capacity (HC) Quarter Rack with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RDMA memory and two 1.5 TB memory DB servers each with 2 dual 25 G network cards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1.2 - One Cisco 9336C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RoCE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networking fabric switch v2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2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1.3 - QSFP28 passive copper cable: 3 meters, 30 AWG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11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1.4 - QSFP28 passive copper cable: 1 meter, 30 AWG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8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1.5 - One Cisco 9348 management switch v2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563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1.6 - Two 1-phase high voltage 22 kVA PDUs with 2P3W-IP44 plugs for EMEA and APAC, except Japan and Taiwan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1.7 - Engineered Systems 1 RU filler panel v2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29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1.8 -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Database Machine X10M: Oracle Linux software image for database server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1.9 -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Database Machine X10M: Oracle Linux software image for storage server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DB5631" w:rsidRPr="00DB5631" w:rsidTr="00DB5631">
        <w:trPr>
          <w:trHeight w:val="29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1.10 - Oracle Dual Port 25 Gb Ethernet Adapter v2 for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X10M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4</w:t>
            </w:r>
          </w:p>
        </w:tc>
      </w:tr>
      <w:tr w:rsidR="00DB5631" w:rsidRPr="00DB5631" w:rsidTr="00DB5631">
        <w:trPr>
          <w:trHeight w:val="410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1.11 - Oracle 10/25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GbE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Dual Rate SFP28 Short Range (SR) Transceiver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8</w:t>
            </w:r>
          </w:p>
        </w:tc>
      </w:tr>
      <w:tr w:rsidR="00DB5631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1.12 - Power cord: Sun Rack jumper, straight, 3 meters, C14 plug, C13 connector, 10A (for factory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2</w:t>
            </w:r>
          </w:p>
        </w:tc>
      </w:tr>
      <w:tr w:rsidR="00DB5631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1.13 - Oracle Advanced Support Gateway Server X9-2 (for field installation)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61097B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097B" w:rsidRPr="00DB5631" w:rsidRDefault="0061097B" w:rsidP="0061097B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1.14 - </w:t>
            </w:r>
            <w:r w:rsidRPr="00BD7407">
              <w:rPr>
                <w:rFonts w:asciiTheme="minorBidi" w:hAnsiTheme="minorBidi"/>
                <w:sz w:val="24"/>
                <w:szCs w:val="24"/>
              </w:rPr>
              <w:t xml:space="preserve">3 </w:t>
            </w:r>
            <w:proofErr w:type="gramStart"/>
            <w:r w:rsidRPr="00BD7407">
              <w:rPr>
                <w:rFonts w:asciiTheme="minorBidi" w:hAnsiTheme="minorBidi"/>
                <w:sz w:val="24"/>
                <w:szCs w:val="24"/>
              </w:rPr>
              <w:t>years</w:t>
            </w:r>
            <w:proofErr w:type="gramEnd"/>
            <w:r w:rsidRPr="00BD7407">
              <w:rPr>
                <w:rFonts w:asciiTheme="minorBidi" w:hAnsiTheme="minorBidi"/>
                <w:sz w:val="24"/>
                <w:szCs w:val="24"/>
              </w:rPr>
              <w:t xml:space="preserve"> onsite premium support and maintenance / warranty with back to back support with Oracle.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97B" w:rsidRPr="00DB5631" w:rsidRDefault="0061097B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t>1</w:t>
            </w:r>
          </w:p>
        </w:tc>
      </w:tr>
      <w:tr w:rsidR="00797EC8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7EC8" w:rsidRDefault="00985956" w:rsidP="00300F70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1.15 </w:t>
            </w:r>
            <w:r w:rsidR="003560D6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-</w:t>
            </w:r>
            <w:r w:rsidR="00797EC8"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The bidder should make sure that the environmental requirements are satisfied in the data center in terms of HW and SW (Power, Cooling, Floor Space, Cabling, Licenses</w:t>
            </w:r>
            <w:proofErr w:type="gramStart"/>
            <w:r w:rsidR="00797EC8"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,,,)</w:t>
            </w:r>
            <w:proofErr w:type="gramEnd"/>
            <w:r w:rsidR="00797EC8"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. HW installation should be possible in Hua</w:t>
            </w:r>
            <w:r w:rsidR="00797EC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wei cabinet type NetHos-M-42812</w:t>
            </w:r>
            <w:r w:rsidR="00797EC8"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. Bidder will include in the bill of material all needed or missed items for the </w:t>
            </w:r>
            <w:r w:rsidR="00797EC8"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lastRenderedPageBreak/>
              <w:t>project accomplishment. A site survey could be performed for this purpose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EC8" w:rsidRDefault="00985956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  <w:lastRenderedPageBreak/>
              <w:t>1</w:t>
            </w:r>
          </w:p>
        </w:tc>
      </w:tr>
      <w:tr w:rsidR="00985956" w:rsidRPr="00DB5631" w:rsidTr="00DB5631">
        <w:trPr>
          <w:trHeight w:val="578"/>
        </w:trPr>
        <w:tc>
          <w:tcPr>
            <w:tcW w:w="7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956" w:rsidRPr="00422E18" w:rsidRDefault="00985956" w:rsidP="00985956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1.16 - Bidder to include Oracle university in led class training on Oracle </w:t>
            </w:r>
            <w:proofErr w:type="spellStart"/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and Oracle Database technology (5 seats); to include accommodation and travel costs.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956" w:rsidRDefault="00985956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FF0000"/>
                <w:sz w:val="24"/>
                <w:szCs w:val="24"/>
              </w:rPr>
            </w:pPr>
          </w:p>
        </w:tc>
      </w:tr>
      <w:tr w:rsidR="00DB5631" w:rsidRPr="00DB5631" w:rsidTr="00DB5631">
        <w:trPr>
          <w:trHeight w:val="578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DB5631" w:rsidRPr="00DB5631" w:rsidRDefault="00DB5631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2F75B5"/>
                <w:sz w:val="24"/>
                <w:szCs w:val="24"/>
              </w:rPr>
            </w:pPr>
            <w:proofErr w:type="spellStart"/>
            <w:r w:rsidRPr="00DB563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Software</w:t>
            </w:r>
          </w:p>
        </w:tc>
      </w:tr>
      <w:tr w:rsidR="00DB5631" w:rsidRPr="00DB5631" w:rsidTr="006B208D">
        <w:trPr>
          <w:trHeight w:val="288"/>
        </w:trPr>
        <w:tc>
          <w:tcPr>
            <w:tcW w:w="46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Module</w:t>
            </w:r>
          </w:p>
        </w:tc>
        <w:tc>
          <w:tcPr>
            <w:tcW w:w="31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Metric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5631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Qty</w:t>
            </w:r>
            <w:proofErr w:type="spellEnd"/>
          </w:p>
        </w:tc>
      </w:tr>
      <w:tr w:rsidR="00DB5631" w:rsidRPr="00DB5631" w:rsidTr="006B208D">
        <w:trPr>
          <w:trHeight w:val="172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631" w:rsidRPr="00DB5631" w:rsidRDefault="00DB5631" w:rsidP="006B208D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Storage Server Software - </w:t>
            </w: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br/>
              <w:t xml:space="preserve">3x Storage Server HC (total ~240TB utile) </w:t>
            </w: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br/>
              <w:t>792 TB disk (36x 22TB 7,200 RPM disks)</w:t>
            </w: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br/>
              <w:t>81.6 TB performance optimized Flash</w:t>
            </w: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br/>
              <w:t xml:space="preserve">3.75 TB </w:t>
            </w:r>
            <w:proofErr w:type="spellStart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Exadata</w:t>
            </w:r>
            <w:proofErr w:type="spellEnd"/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RDMA Memory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Disk Drive Perpetual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631" w:rsidRPr="00DB5631" w:rsidRDefault="00DB5631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DB5631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36</w:t>
            </w:r>
          </w:p>
        </w:tc>
      </w:tr>
      <w:tr w:rsidR="00ED6DEE" w:rsidRPr="00DB5631" w:rsidTr="00ED6DEE">
        <w:trPr>
          <w:trHeight w:val="6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DEE" w:rsidRPr="00DB5631" w:rsidRDefault="00ED6DEE" w:rsidP="006B208D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ED6DE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3 years Software Update License &amp; Service Support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DEE" w:rsidRPr="00DB5631" w:rsidRDefault="00ED6DEE" w:rsidP="00DB5631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DEE" w:rsidRPr="00DB5631" w:rsidRDefault="00ED6DEE" w:rsidP="00DB5631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</w:p>
        </w:tc>
      </w:tr>
    </w:tbl>
    <w:p w:rsidR="0061097B" w:rsidRPr="00ED6DEE" w:rsidRDefault="0061097B" w:rsidP="0061097B">
      <w:pPr>
        <w:pStyle w:val="Heading1"/>
        <w:keepNext w:val="0"/>
        <w:numPr>
          <w:ilvl w:val="0"/>
          <w:numId w:val="0"/>
        </w:numPr>
        <w:ind w:left="238"/>
        <w:rPr>
          <w:rFonts w:asciiTheme="minorBidi" w:eastAsiaTheme="minorHAnsi" w:hAnsiTheme="minorBidi" w:cstheme="minorBidi"/>
        </w:rPr>
      </w:pPr>
    </w:p>
    <w:p w:rsidR="00DB5631" w:rsidRPr="008A193E" w:rsidRDefault="00422E18" w:rsidP="0061097B">
      <w:pPr>
        <w:pStyle w:val="Heading2"/>
        <w:rPr>
          <w:lang w:val="en-US"/>
        </w:rPr>
      </w:pPr>
      <w:r w:rsidRPr="008A193E">
        <w:rPr>
          <w:lang w:val="en-US"/>
        </w:rPr>
        <w:t xml:space="preserve">Oracle </w:t>
      </w:r>
      <w:r w:rsidR="00ED6DEE" w:rsidRPr="008A193E">
        <w:rPr>
          <w:lang w:val="en-US"/>
        </w:rPr>
        <w:t>Licenses (tech and</w:t>
      </w:r>
      <w:r w:rsidR="00DB5631" w:rsidRPr="008A193E">
        <w:rPr>
          <w:lang w:val="en-US"/>
        </w:rPr>
        <w:t xml:space="preserve"> Apps)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4360"/>
        <w:gridCol w:w="3440"/>
        <w:gridCol w:w="1840"/>
      </w:tblGrid>
      <w:tr w:rsidR="00422E18" w:rsidRPr="00422E18" w:rsidTr="00422E18">
        <w:trPr>
          <w:trHeight w:val="318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2F75B5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Licenses Tech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Product Name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License Type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Qty</w:t>
            </w:r>
            <w:proofErr w:type="spellEnd"/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Database EE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43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Diagnostics Pack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25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Tuning Pack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25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Partitioning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43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Advanced Compression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Advanced Security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10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RAC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15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Internet App Server EE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Processor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23</w:t>
            </w:r>
          </w:p>
        </w:tc>
      </w:tr>
      <w:tr w:rsidR="00422E18" w:rsidRPr="00422E18" w:rsidTr="00422E18">
        <w:trPr>
          <w:trHeight w:val="294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Internet Developer Suite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NUP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2</w:t>
            </w:r>
          </w:p>
        </w:tc>
      </w:tr>
      <w:tr w:rsidR="00422E18" w:rsidRPr="00422E18" w:rsidTr="00422E18">
        <w:trPr>
          <w:trHeight w:val="31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2F75B5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Licenses APPS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Module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Metric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22E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Qty</w:t>
            </w:r>
            <w:proofErr w:type="spellEnd"/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Financials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34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Purchasing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Inventory Management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Procurement Contracts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Services Procurement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proofErr w:type="spellStart"/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iProcurement</w:t>
            </w:r>
            <w:proofErr w:type="spellEnd"/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100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Order Management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17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Project Costing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5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Property Manager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Application User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5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lastRenderedPageBreak/>
              <w:t>Human Resources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Employee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700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Self-Service Human Resources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Employee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700</w:t>
            </w:r>
          </w:p>
        </w:tc>
      </w:tr>
      <w:tr w:rsidR="00422E18" w:rsidRPr="00422E18" w:rsidTr="00422E18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Payroll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Employee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700</w:t>
            </w:r>
          </w:p>
        </w:tc>
      </w:tr>
      <w:tr w:rsidR="00422E18" w:rsidRPr="00422E18" w:rsidTr="0061097B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Performance Management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Employee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E18" w:rsidRPr="00422E18" w:rsidRDefault="00422E18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422E18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700</w:t>
            </w:r>
          </w:p>
        </w:tc>
      </w:tr>
      <w:tr w:rsidR="004F142A" w:rsidRPr="00422E18" w:rsidTr="0061097B">
        <w:trPr>
          <w:trHeight w:val="288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42A" w:rsidRPr="00422E18" w:rsidRDefault="004F142A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42A" w:rsidRPr="00422E18" w:rsidRDefault="004F142A" w:rsidP="00422E18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42A" w:rsidRPr="00422E18" w:rsidRDefault="004F142A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</w:t>
            </w:r>
          </w:p>
        </w:tc>
      </w:tr>
      <w:tr w:rsidR="004F142A" w:rsidRPr="00422E18" w:rsidTr="004F142A">
        <w:trPr>
          <w:trHeight w:val="288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4F142A" w:rsidRPr="004F142A" w:rsidRDefault="004F142A" w:rsidP="00422E18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4F142A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Licenses Support</w:t>
            </w:r>
          </w:p>
        </w:tc>
      </w:tr>
      <w:tr w:rsidR="004F142A" w:rsidRPr="00422E18" w:rsidTr="00EF6FAA">
        <w:trPr>
          <w:trHeight w:val="288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42A" w:rsidRDefault="008A193E" w:rsidP="001B449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The offer should include 3</w:t>
            </w:r>
            <w:r w:rsidR="004F142A" w:rsidRPr="00BD7407">
              <w:rPr>
                <w:rFonts w:asciiTheme="minorBidi" w:hAnsiTheme="minorBidi"/>
                <w:sz w:val="24"/>
                <w:szCs w:val="24"/>
              </w:rPr>
              <w:t xml:space="preserve"> year</w:t>
            </w:r>
            <w:r>
              <w:rPr>
                <w:rFonts w:asciiTheme="minorBidi" w:hAnsiTheme="minorBidi"/>
                <w:sz w:val="24"/>
                <w:szCs w:val="24"/>
              </w:rPr>
              <w:t>s</w:t>
            </w:r>
            <w:bookmarkStart w:id="0" w:name="_GoBack"/>
            <w:bookmarkEnd w:id="0"/>
            <w:r w:rsidR="004F142A" w:rsidRPr="00BD7407">
              <w:rPr>
                <w:rFonts w:asciiTheme="minorBidi" w:hAnsiTheme="minorBidi"/>
                <w:sz w:val="24"/>
                <w:szCs w:val="24"/>
              </w:rPr>
              <w:t xml:space="preserve"> Oracle back to back support on purchased Oracle Licenses (tech and Apps).</w:t>
            </w:r>
          </w:p>
        </w:tc>
      </w:tr>
      <w:tr w:rsidR="0061097B" w:rsidRPr="0061097B" w:rsidTr="0061097B">
        <w:trPr>
          <w:trHeight w:val="288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61097B" w:rsidRPr="0061097B" w:rsidRDefault="003560D6" w:rsidP="004F142A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Old</w:t>
            </w:r>
            <w:r w:rsidR="004F142A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61097B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Licenses </w:t>
            </w:r>
            <w:r w:rsidR="004F142A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Termination</w:t>
            </w:r>
          </w:p>
        </w:tc>
      </w:tr>
      <w:tr w:rsidR="00B84F99" w:rsidRPr="00422E18" w:rsidTr="005B0F1F">
        <w:trPr>
          <w:trHeight w:val="288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F99" w:rsidRPr="00BD7407" w:rsidRDefault="00B84F99" w:rsidP="0061097B">
            <w:pPr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On the acquisition of the new licenses the old licenses</w:t>
            </w:r>
            <w:r w:rsidR="004F142A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</w:rPr>
              <w:t>should be terminated and to provide official communication from Oracle.</w:t>
            </w:r>
          </w:p>
        </w:tc>
      </w:tr>
    </w:tbl>
    <w:p w:rsidR="00422E18" w:rsidRDefault="00422E18" w:rsidP="003560D6">
      <w:pPr>
        <w:rPr>
          <w:rFonts w:asciiTheme="majorBidi" w:hAnsiTheme="majorBidi" w:cstheme="majorBidi"/>
          <w:sz w:val="24"/>
          <w:szCs w:val="24"/>
        </w:rPr>
      </w:pPr>
    </w:p>
    <w:sectPr w:rsidR="00422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03D"/>
    <w:multiLevelType w:val="hybridMultilevel"/>
    <w:tmpl w:val="E7FEA494"/>
    <w:lvl w:ilvl="0" w:tplc="3B742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F59D9"/>
    <w:multiLevelType w:val="hybridMultilevel"/>
    <w:tmpl w:val="62B66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7650D"/>
    <w:multiLevelType w:val="hybridMultilevel"/>
    <w:tmpl w:val="64A0A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22821"/>
    <w:multiLevelType w:val="hybridMultilevel"/>
    <w:tmpl w:val="5F76AA78"/>
    <w:lvl w:ilvl="0" w:tplc="3B742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958DE"/>
    <w:multiLevelType w:val="hybridMultilevel"/>
    <w:tmpl w:val="D7CE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F12B9"/>
    <w:multiLevelType w:val="hybridMultilevel"/>
    <w:tmpl w:val="E2B8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6013B"/>
    <w:multiLevelType w:val="hybridMultilevel"/>
    <w:tmpl w:val="0782846E"/>
    <w:lvl w:ilvl="0" w:tplc="DDC21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534A"/>
    <w:multiLevelType w:val="hybridMultilevel"/>
    <w:tmpl w:val="0782846E"/>
    <w:lvl w:ilvl="0" w:tplc="DDC21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D7525"/>
    <w:multiLevelType w:val="multilevel"/>
    <w:tmpl w:val="798E98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7BB6082"/>
    <w:multiLevelType w:val="hybridMultilevel"/>
    <w:tmpl w:val="4F5E4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6559E"/>
    <w:multiLevelType w:val="hybridMultilevel"/>
    <w:tmpl w:val="6D249168"/>
    <w:lvl w:ilvl="0" w:tplc="B23E9F42">
      <w:start w:val="1"/>
      <w:numFmt w:val="upp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0AC4759"/>
    <w:multiLevelType w:val="hybridMultilevel"/>
    <w:tmpl w:val="C57A6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23C9C"/>
    <w:multiLevelType w:val="hybridMultilevel"/>
    <w:tmpl w:val="EE9ECA8C"/>
    <w:lvl w:ilvl="0" w:tplc="3B742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05D03"/>
    <w:multiLevelType w:val="hybridMultilevel"/>
    <w:tmpl w:val="02A2650C"/>
    <w:lvl w:ilvl="0" w:tplc="DDC21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B7735"/>
    <w:multiLevelType w:val="multilevel"/>
    <w:tmpl w:val="9EE89930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77"/>
        </w:tabs>
        <w:ind w:left="677" w:hanging="677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71"/>
        </w:tabs>
        <w:ind w:left="771" w:hanging="681"/>
      </w:pPr>
      <w:rPr>
        <w:rFonts w:hint="default"/>
        <w:b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15" w15:restartNumberingAfterBreak="0">
    <w:nsid w:val="5B5F239E"/>
    <w:multiLevelType w:val="hybridMultilevel"/>
    <w:tmpl w:val="A30EEEE8"/>
    <w:lvl w:ilvl="0" w:tplc="3B742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631B2"/>
    <w:multiLevelType w:val="hybridMultilevel"/>
    <w:tmpl w:val="E3641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063FE"/>
    <w:multiLevelType w:val="hybridMultilevel"/>
    <w:tmpl w:val="E488D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D1232"/>
    <w:multiLevelType w:val="multilevel"/>
    <w:tmpl w:val="FEC6AAEC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7"/>
      <w:lvlJc w:val="left"/>
      <w:pPr>
        <w:tabs>
          <w:tab w:val="num" w:pos="677"/>
        </w:tabs>
        <w:ind w:left="677" w:hanging="677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20"/>
        <w:szCs w:val="2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  <w:b/>
        <w:bCs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3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4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5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19" w15:restartNumberingAfterBreak="0">
    <w:nsid w:val="6C4D12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CA1993"/>
    <w:multiLevelType w:val="multilevel"/>
    <w:tmpl w:val="851AA560"/>
    <w:lvl w:ilvl="0">
      <w:start w:val="1"/>
      <w:numFmt w:val="decimal"/>
      <w:pStyle w:val="Heading1"/>
      <w:lvlText w:val="%1.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40"/>
        </w:tabs>
        <w:ind w:left="540" w:firstLine="0"/>
      </w:pPr>
      <w:rPr>
        <w:rFonts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38"/>
        </w:tabs>
        <w:ind w:left="238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8"/>
        </w:tabs>
        <w:ind w:left="238" w:firstLine="0"/>
      </w:pPr>
      <w:rPr>
        <w:rFonts w:hint="default"/>
      </w:rPr>
    </w:lvl>
  </w:abstractNum>
  <w:abstractNum w:abstractNumId="21" w15:restartNumberingAfterBreak="0">
    <w:nsid w:val="7FC6305B"/>
    <w:multiLevelType w:val="hybridMultilevel"/>
    <w:tmpl w:val="0782846E"/>
    <w:lvl w:ilvl="0" w:tplc="DDC21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</w:num>
  <w:num w:numId="7">
    <w:abstractNumId w:val="16"/>
  </w:num>
  <w:num w:numId="8">
    <w:abstractNumId w:val="8"/>
  </w:num>
  <w:num w:numId="9">
    <w:abstractNumId w:val="5"/>
  </w:num>
  <w:num w:numId="10">
    <w:abstractNumId w:val="7"/>
  </w:num>
  <w:num w:numId="11">
    <w:abstractNumId w:val="4"/>
  </w:num>
  <w:num w:numId="12">
    <w:abstractNumId w:val="21"/>
  </w:num>
  <w:num w:numId="13">
    <w:abstractNumId w:val="6"/>
  </w:num>
  <w:num w:numId="14">
    <w:abstractNumId w:val="17"/>
  </w:num>
  <w:num w:numId="15">
    <w:abstractNumId w:val="1"/>
  </w:num>
  <w:num w:numId="16">
    <w:abstractNumId w:val="3"/>
  </w:num>
  <w:num w:numId="17">
    <w:abstractNumId w:val="12"/>
  </w:num>
  <w:num w:numId="18">
    <w:abstractNumId w:val="17"/>
  </w:num>
  <w:num w:numId="19">
    <w:abstractNumId w:val="0"/>
  </w:num>
  <w:num w:numId="20">
    <w:abstractNumId w:val="9"/>
  </w:num>
  <w:num w:numId="21">
    <w:abstractNumId w:val="15"/>
  </w:num>
  <w:num w:numId="22">
    <w:abstractNumId w:val="2"/>
  </w:num>
  <w:num w:numId="23">
    <w:abstractNumId w:val="19"/>
  </w:num>
  <w:num w:numId="24">
    <w:abstractNumId w:val="1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45"/>
    <w:rsid w:val="000132F6"/>
    <w:rsid w:val="00016698"/>
    <w:rsid w:val="0002733C"/>
    <w:rsid w:val="0003263F"/>
    <w:rsid w:val="000551DB"/>
    <w:rsid w:val="00060CEB"/>
    <w:rsid w:val="00064783"/>
    <w:rsid w:val="00072953"/>
    <w:rsid w:val="00081739"/>
    <w:rsid w:val="00084AD8"/>
    <w:rsid w:val="000937F2"/>
    <w:rsid w:val="0009524C"/>
    <w:rsid w:val="000A0260"/>
    <w:rsid w:val="000B08C8"/>
    <w:rsid w:val="000B64BC"/>
    <w:rsid w:val="000D259B"/>
    <w:rsid w:val="001154E7"/>
    <w:rsid w:val="00122DFB"/>
    <w:rsid w:val="00133211"/>
    <w:rsid w:val="001349E2"/>
    <w:rsid w:val="0014042E"/>
    <w:rsid w:val="00144F60"/>
    <w:rsid w:val="00151A3F"/>
    <w:rsid w:val="00186700"/>
    <w:rsid w:val="00192DF5"/>
    <w:rsid w:val="001A295D"/>
    <w:rsid w:val="001B449E"/>
    <w:rsid w:val="001C09E5"/>
    <w:rsid w:val="001F57A2"/>
    <w:rsid w:val="002051AC"/>
    <w:rsid w:val="00211BBC"/>
    <w:rsid w:val="00220617"/>
    <w:rsid w:val="002214A2"/>
    <w:rsid w:val="00223908"/>
    <w:rsid w:val="0022489D"/>
    <w:rsid w:val="00227F3E"/>
    <w:rsid w:val="0023681C"/>
    <w:rsid w:val="00263F18"/>
    <w:rsid w:val="00286CB8"/>
    <w:rsid w:val="0029689B"/>
    <w:rsid w:val="002C27D3"/>
    <w:rsid w:val="002E1D43"/>
    <w:rsid w:val="002E2F8F"/>
    <w:rsid w:val="002E540C"/>
    <w:rsid w:val="002F554E"/>
    <w:rsid w:val="002F7952"/>
    <w:rsid w:val="00300F70"/>
    <w:rsid w:val="003074B9"/>
    <w:rsid w:val="003177B7"/>
    <w:rsid w:val="0032111E"/>
    <w:rsid w:val="00321215"/>
    <w:rsid w:val="00342C57"/>
    <w:rsid w:val="0034421E"/>
    <w:rsid w:val="003560D6"/>
    <w:rsid w:val="00393C39"/>
    <w:rsid w:val="003B691E"/>
    <w:rsid w:val="003C6F38"/>
    <w:rsid w:val="003D5242"/>
    <w:rsid w:val="003E1D76"/>
    <w:rsid w:val="003F2FE3"/>
    <w:rsid w:val="00404C60"/>
    <w:rsid w:val="0041775C"/>
    <w:rsid w:val="00421F58"/>
    <w:rsid w:val="00422E18"/>
    <w:rsid w:val="00422F50"/>
    <w:rsid w:val="00433C32"/>
    <w:rsid w:val="00434F5C"/>
    <w:rsid w:val="0045165D"/>
    <w:rsid w:val="00454F89"/>
    <w:rsid w:val="00477D61"/>
    <w:rsid w:val="004F142A"/>
    <w:rsid w:val="005168C6"/>
    <w:rsid w:val="00555B7F"/>
    <w:rsid w:val="00561E27"/>
    <w:rsid w:val="00562F22"/>
    <w:rsid w:val="005651FA"/>
    <w:rsid w:val="00590096"/>
    <w:rsid w:val="0059596E"/>
    <w:rsid w:val="005969B7"/>
    <w:rsid w:val="005B6336"/>
    <w:rsid w:val="005B6367"/>
    <w:rsid w:val="005C1240"/>
    <w:rsid w:val="005C41F8"/>
    <w:rsid w:val="005D36CC"/>
    <w:rsid w:val="005E7AE6"/>
    <w:rsid w:val="005F5F86"/>
    <w:rsid w:val="00600E44"/>
    <w:rsid w:val="00602102"/>
    <w:rsid w:val="006100B2"/>
    <w:rsid w:val="0061097B"/>
    <w:rsid w:val="00626234"/>
    <w:rsid w:val="0064234D"/>
    <w:rsid w:val="006436D0"/>
    <w:rsid w:val="0065534B"/>
    <w:rsid w:val="00660497"/>
    <w:rsid w:val="00660C3E"/>
    <w:rsid w:val="006639DD"/>
    <w:rsid w:val="00692D2B"/>
    <w:rsid w:val="006A4BAD"/>
    <w:rsid w:val="006B1C7C"/>
    <w:rsid w:val="006B208D"/>
    <w:rsid w:val="006C0D46"/>
    <w:rsid w:val="006D131E"/>
    <w:rsid w:val="006D7467"/>
    <w:rsid w:val="006E6719"/>
    <w:rsid w:val="00730ABD"/>
    <w:rsid w:val="00780441"/>
    <w:rsid w:val="007968B7"/>
    <w:rsid w:val="00797EC8"/>
    <w:rsid w:val="007A7719"/>
    <w:rsid w:val="007B2FAA"/>
    <w:rsid w:val="007C2014"/>
    <w:rsid w:val="008126AE"/>
    <w:rsid w:val="008130D0"/>
    <w:rsid w:val="008151AA"/>
    <w:rsid w:val="00821A13"/>
    <w:rsid w:val="00830C36"/>
    <w:rsid w:val="008643E5"/>
    <w:rsid w:val="0089375C"/>
    <w:rsid w:val="008A193E"/>
    <w:rsid w:val="008B249C"/>
    <w:rsid w:val="008C2C4D"/>
    <w:rsid w:val="008D52DA"/>
    <w:rsid w:val="008E2862"/>
    <w:rsid w:val="008E5EE8"/>
    <w:rsid w:val="008E6726"/>
    <w:rsid w:val="008F472F"/>
    <w:rsid w:val="008F4C4D"/>
    <w:rsid w:val="008F7545"/>
    <w:rsid w:val="00910361"/>
    <w:rsid w:val="009118BE"/>
    <w:rsid w:val="009302AE"/>
    <w:rsid w:val="00966571"/>
    <w:rsid w:val="00985956"/>
    <w:rsid w:val="00993BEA"/>
    <w:rsid w:val="009A4CCD"/>
    <w:rsid w:val="009A7AB2"/>
    <w:rsid w:val="009B115E"/>
    <w:rsid w:val="009D03DA"/>
    <w:rsid w:val="009D65DD"/>
    <w:rsid w:val="009E387A"/>
    <w:rsid w:val="009F17D0"/>
    <w:rsid w:val="00A55B20"/>
    <w:rsid w:val="00A55DEA"/>
    <w:rsid w:val="00A61DBE"/>
    <w:rsid w:val="00A868C2"/>
    <w:rsid w:val="00AA29BA"/>
    <w:rsid w:val="00AB047F"/>
    <w:rsid w:val="00AF7DF7"/>
    <w:rsid w:val="00B11BD1"/>
    <w:rsid w:val="00B13474"/>
    <w:rsid w:val="00B25732"/>
    <w:rsid w:val="00B36636"/>
    <w:rsid w:val="00B60672"/>
    <w:rsid w:val="00B84F99"/>
    <w:rsid w:val="00B91969"/>
    <w:rsid w:val="00BD1E84"/>
    <w:rsid w:val="00BD7407"/>
    <w:rsid w:val="00C23F9C"/>
    <w:rsid w:val="00C500E0"/>
    <w:rsid w:val="00C502D3"/>
    <w:rsid w:val="00C5686F"/>
    <w:rsid w:val="00C71357"/>
    <w:rsid w:val="00C9512B"/>
    <w:rsid w:val="00CB6024"/>
    <w:rsid w:val="00CD1E3A"/>
    <w:rsid w:val="00CE1DF3"/>
    <w:rsid w:val="00CF3825"/>
    <w:rsid w:val="00CF7F80"/>
    <w:rsid w:val="00D03C00"/>
    <w:rsid w:val="00D057B2"/>
    <w:rsid w:val="00D105B9"/>
    <w:rsid w:val="00D62378"/>
    <w:rsid w:val="00D655EC"/>
    <w:rsid w:val="00D73B52"/>
    <w:rsid w:val="00D74F59"/>
    <w:rsid w:val="00DB5631"/>
    <w:rsid w:val="00DC2542"/>
    <w:rsid w:val="00DE1F51"/>
    <w:rsid w:val="00DF471A"/>
    <w:rsid w:val="00E36CBD"/>
    <w:rsid w:val="00E57DE3"/>
    <w:rsid w:val="00E623A8"/>
    <w:rsid w:val="00E803AC"/>
    <w:rsid w:val="00E854FB"/>
    <w:rsid w:val="00E90B22"/>
    <w:rsid w:val="00EA405D"/>
    <w:rsid w:val="00EB30CB"/>
    <w:rsid w:val="00EC2302"/>
    <w:rsid w:val="00ED0788"/>
    <w:rsid w:val="00ED6DEE"/>
    <w:rsid w:val="00EE3204"/>
    <w:rsid w:val="00EE4F1C"/>
    <w:rsid w:val="00EF0478"/>
    <w:rsid w:val="00F13400"/>
    <w:rsid w:val="00F13525"/>
    <w:rsid w:val="00F41711"/>
    <w:rsid w:val="00F452CC"/>
    <w:rsid w:val="00F60B81"/>
    <w:rsid w:val="00F63628"/>
    <w:rsid w:val="00F70B92"/>
    <w:rsid w:val="00F91063"/>
    <w:rsid w:val="00F93806"/>
    <w:rsid w:val="00FA1F6F"/>
    <w:rsid w:val="00FA5435"/>
    <w:rsid w:val="00FB25DD"/>
    <w:rsid w:val="00FC045C"/>
    <w:rsid w:val="00FC5F7B"/>
    <w:rsid w:val="00FD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BA43"/>
  <w15:docId w15:val="{53F83C0A-3518-4947-94A7-27E2B27A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5C"/>
    <w:pPr>
      <w:spacing w:after="200" w:line="276" w:lineRule="auto"/>
    </w:pPr>
  </w:style>
  <w:style w:type="paragraph" w:styleId="Heading1">
    <w:name w:val="heading 1"/>
    <w:aliases w:val="Heading 11,para0,sstHeading 1"/>
    <w:basedOn w:val="Normal"/>
    <w:next w:val="Normal"/>
    <w:link w:val="Heading1Char"/>
    <w:uiPriority w:val="9"/>
    <w:qFormat/>
    <w:rsid w:val="00F13525"/>
    <w:pPr>
      <w:keepNext/>
      <w:widowControl w:val="0"/>
      <w:numPr>
        <w:numId w:val="25"/>
      </w:numPr>
      <w:tabs>
        <w:tab w:val="num" w:pos="432"/>
      </w:tabs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fr-FR"/>
    </w:rPr>
  </w:style>
  <w:style w:type="paragraph" w:styleId="Heading2">
    <w:name w:val="heading 2"/>
    <w:aliases w:val="Heading 21,h2,subpara1,sstHeading 2"/>
    <w:basedOn w:val="Normal"/>
    <w:next w:val="Normal"/>
    <w:link w:val="Heading2Char"/>
    <w:uiPriority w:val="9"/>
    <w:qFormat/>
    <w:rsid w:val="0061097B"/>
    <w:pPr>
      <w:keepNext/>
      <w:numPr>
        <w:ilvl w:val="1"/>
        <w:numId w:val="25"/>
      </w:numPr>
      <w:tabs>
        <w:tab w:val="num" w:pos="1116"/>
      </w:tabs>
      <w:spacing w:before="240" w:after="60" w:line="240" w:lineRule="auto"/>
      <w:jc w:val="both"/>
      <w:outlineLvl w:val="1"/>
    </w:pPr>
    <w:rPr>
      <w:rFonts w:ascii="Times New Roman" w:hAnsi="Times New Roman" w:cs="Times New Roman"/>
      <w:b/>
      <w:bCs/>
      <w:i/>
      <w:iCs/>
      <w:sz w:val="28"/>
      <w:szCs w:val="28"/>
      <w:u w:val="single"/>
      <w:lang w:val="en-GB" w:eastAsia="fr-FR"/>
    </w:rPr>
  </w:style>
  <w:style w:type="paragraph" w:styleId="Heading3">
    <w:name w:val="heading 3"/>
    <w:aliases w:val="Heading 31,h3,subpara2"/>
    <w:basedOn w:val="Normal"/>
    <w:next w:val="Normal"/>
    <w:link w:val="Heading3Char"/>
    <w:uiPriority w:val="9"/>
    <w:qFormat/>
    <w:rsid w:val="00F13525"/>
    <w:pPr>
      <w:keepNext/>
      <w:widowControl w:val="0"/>
      <w:numPr>
        <w:ilvl w:val="2"/>
        <w:numId w:val="25"/>
      </w:numPr>
      <w:tabs>
        <w:tab w:val="num" w:pos="720"/>
      </w:tabs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ing4">
    <w:name w:val="heading 4"/>
    <w:aliases w:val="Heading 41,h4,subpara3"/>
    <w:basedOn w:val="Normal"/>
    <w:next w:val="Normal"/>
    <w:link w:val="Heading4Char"/>
    <w:uiPriority w:val="9"/>
    <w:unhideWhenUsed/>
    <w:qFormat/>
    <w:rsid w:val="00227F3E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aliases w:val="Heading 51"/>
    <w:basedOn w:val="Normal"/>
    <w:next w:val="Normal"/>
    <w:link w:val="Heading5Char"/>
    <w:uiPriority w:val="9"/>
    <w:qFormat/>
    <w:rsid w:val="00F13525"/>
    <w:pPr>
      <w:widowControl w:val="0"/>
      <w:numPr>
        <w:ilvl w:val="4"/>
        <w:numId w:val="25"/>
      </w:numPr>
      <w:tabs>
        <w:tab w:val="num" w:pos="1008"/>
      </w:tabs>
      <w:spacing w:before="240" w:after="60" w:line="240" w:lineRule="auto"/>
      <w:outlineLvl w:val="4"/>
    </w:pPr>
    <w:rPr>
      <w:rFonts w:ascii="Arial" w:eastAsia="Times New Roman" w:hAnsi="Arial" w:cs="Times New Roman"/>
      <w:lang w:eastAsia="fr-FR"/>
    </w:rPr>
  </w:style>
  <w:style w:type="paragraph" w:styleId="Heading6">
    <w:name w:val="heading 6"/>
    <w:basedOn w:val="Normal"/>
    <w:next w:val="Normal"/>
    <w:link w:val="Heading6Char"/>
    <w:uiPriority w:val="9"/>
    <w:qFormat/>
    <w:rsid w:val="00F13525"/>
    <w:pPr>
      <w:widowControl w:val="0"/>
      <w:numPr>
        <w:ilvl w:val="5"/>
        <w:numId w:val="25"/>
      </w:numPr>
      <w:tabs>
        <w:tab w:val="num" w:pos="1152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fr-FR"/>
    </w:rPr>
  </w:style>
  <w:style w:type="paragraph" w:styleId="Heading7">
    <w:name w:val="heading 7"/>
    <w:basedOn w:val="Normal"/>
    <w:next w:val="Normal"/>
    <w:link w:val="Heading7Char"/>
    <w:uiPriority w:val="9"/>
    <w:qFormat/>
    <w:rsid w:val="00F13525"/>
    <w:pPr>
      <w:widowControl w:val="0"/>
      <w:numPr>
        <w:ilvl w:val="6"/>
        <w:numId w:val="25"/>
      </w:numPr>
      <w:tabs>
        <w:tab w:val="num" w:pos="1296"/>
      </w:tabs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Heading8">
    <w:name w:val="heading 8"/>
    <w:aliases w:val="Annex,Appendix,Annex2,Appendix1,Annex3,Appendix2,Annex4,Appendix3,Annex5,Appendix4,Annex6,Appendix5"/>
    <w:basedOn w:val="Normal"/>
    <w:next w:val="Normal"/>
    <w:link w:val="Heading8Char"/>
    <w:uiPriority w:val="9"/>
    <w:qFormat/>
    <w:rsid w:val="00F13525"/>
    <w:pPr>
      <w:widowControl w:val="0"/>
      <w:numPr>
        <w:ilvl w:val="7"/>
        <w:numId w:val="25"/>
      </w:numPr>
      <w:tabs>
        <w:tab w:val="num" w:pos="1440"/>
      </w:tabs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Heading9">
    <w:name w:val="heading 9"/>
    <w:aliases w:val="Annex1,Appen 1,Annex11,Appen 11,Annex12,Appen 12,Annex13,Appen 13,Annex14,Appen 14,Annex15,Appen 15,Titre Annexe"/>
    <w:basedOn w:val="Normal"/>
    <w:next w:val="Normal"/>
    <w:link w:val="Heading9Char"/>
    <w:uiPriority w:val="9"/>
    <w:qFormat/>
    <w:rsid w:val="00F13525"/>
    <w:pPr>
      <w:widowControl w:val="0"/>
      <w:numPr>
        <w:ilvl w:val="8"/>
        <w:numId w:val="25"/>
      </w:numPr>
      <w:tabs>
        <w:tab w:val="num" w:pos="1584"/>
      </w:tabs>
      <w:spacing w:before="240" w:after="60" w:line="240" w:lineRule="auto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045C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Level1">
    <w:name w:val="Level 1"/>
    <w:basedOn w:val="Normal"/>
    <w:next w:val="Normal"/>
    <w:rsid w:val="00FC045C"/>
    <w:pPr>
      <w:keepNext/>
      <w:numPr>
        <w:numId w:val="3"/>
      </w:numPr>
      <w:spacing w:before="720" w:after="240" w:line="290" w:lineRule="auto"/>
      <w:jc w:val="both"/>
      <w:outlineLvl w:val="0"/>
    </w:pPr>
    <w:rPr>
      <w:rFonts w:ascii="Verdana" w:eastAsia="MS Mincho" w:hAnsi="Verdana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link w:val="Level2Char"/>
    <w:rsid w:val="00FC045C"/>
    <w:pPr>
      <w:numPr>
        <w:ilvl w:val="1"/>
        <w:numId w:val="3"/>
      </w:numPr>
      <w:spacing w:after="140" w:line="290" w:lineRule="auto"/>
      <w:jc w:val="both"/>
      <w:outlineLvl w:val="1"/>
    </w:pPr>
    <w:rPr>
      <w:rFonts w:ascii="Arial" w:eastAsia="SimSun" w:hAnsi="Arial" w:cs="Times New Roman"/>
      <w:kern w:val="20"/>
      <w:sz w:val="20"/>
      <w:szCs w:val="24"/>
      <w:lang w:val="en-GB" w:eastAsia="x-none"/>
    </w:rPr>
  </w:style>
  <w:style w:type="paragraph" w:customStyle="1" w:styleId="Level3">
    <w:name w:val="Level 3"/>
    <w:basedOn w:val="Normal"/>
    <w:rsid w:val="00FC045C"/>
    <w:pPr>
      <w:numPr>
        <w:ilvl w:val="5"/>
        <w:numId w:val="3"/>
      </w:numPr>
      <w:tabs>
        <w:tab w:val="clear" w:pos="3288"/>
        <w:tab w:val="num" w:pos="1401"/>
      </w:tabs>
      <w:spacing w:after="140" w:line="290" w:lineRule="auto"/>
      <w:ind w:left="1401" w:hanging="681"/>
      <w:jc w:val="both"/>
      <w:outlineLvl w:val="2"/>
    </w:pPr>
    <w:rPr>
      <w:rFonts w:ascii="Arial" w:eastAsia="SimSun" w:hAnsi="Arial" w:cs="Times New Roman"/>
      <w:kern w:val="20"/>
      <w:sz w:val="20"/>
      <w:szCs w:val="24"/>
      <w:lang w:val="en-GB" w:eastAsia="x-none"/>
    </w:rPr>
  </w:style>
  <w:style w:type="paragraph" w:customStyle="1" w:styleId="Level4">
    <w:name w:val="Level 4"/>
    <w:basedOn w:val="Normal"/>
    <w:rsid w:val="00FC045C"/>
    <w:pPr>
      <w:numPr>
        <w:ilvl w:val="7"/>
        <w:numId w:val="3"/>
      </w:numPr>
      <w:spacing w:after="140" w:line="290" w:lineRule="auto"/>
      <w:jc w:val="both"/>
      <w:outlineLvl w:val="3"/>
    </w:pPr>
    <w:rPr>
      <w:rFonts w:ascii="Arial" w:eastAsia="SimSun" w:hAnsi="Arial" w:cs="Times New Roman"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FC045C"/>
    <w:pPr>
      <w:numPr>
        <w:ilvl w:val="8"/>
        <w:numId w:val="3"/>
      </w:numPr>
      <w:tabs>
        <w:tab w:val="clear" w:pos="3288"/>
        <w:tab w:val="num" w:pos="2608"/>
      </w:tabs>
      <w:spacing w:after="140" w:line="290" w:lineRule="auto"/>
      <w:ind w:left="2608" w:hanging="567"/>
      <w:jc w:val="both"/>
      <w:outlineLvl w:val="4"/>
    </w:pPr>
    <w:rPr>
      <w:rFonts w:ascii="Arial" w:eastAsia="SimSu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FC045C"/>
    <w:pPr>
      <w:numPr>
        <w:ilvl w:val="6"/>
        <w:numId w:val="3"/>
      </w:numPr>
      <w:spacing w:after="140" w:line="290" w:lineRule="auto"/>
      <w:jc w:val="both"/>
      <w:outlineLvl w:val="6"/>
    </w:pPr>
    <w:rPr>
      <w:rFonts w:ascii="Arial" w:eastAsia="SimSun" w:hAnsi="Arial" w:cs="Times New Roman"/>
      <w:kern w:val="20"/>
      <w:sz w:val="20"/>
      <w:szCs w:val="24"/>
      <w:lang w:val="en-GB"/>
    </w:rPr>
  </w:style>
  <w:style w:type="paragraph" w:styleId="NoSpacing">
    <w:name w:val="No Spacing"/>
    <w:link w:val="NoSpacingChar"/>
    <w:uiPriority w:val="1"/>
    <w:qFormat/>
    <w:rsid w:val="00EB30C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30CB"/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B30CB"/>
    <w:rPr>
      <w:rFonts w:ascii="Calibri" w:hAnsi="Calibri" w:cs="Times New Roman"/>
    </w:rPr>
  </w:style>
  <w:style w:type="character" w:customStyle="1" w:styleId="Heading4Char">
    <w:name w:val="Heading 4 Char"/>
    <w:aliases w:val="Heading 41 Char,h4 Char,subpara3 Char"/>
    <w:basedOn w:val="DefaultParagraphFont"/>
    <w:link w:val="Heading4"/>
    <w:uiPriority w:val="9"/>
    <w:semiHidden/>
    <w:rsid w:val="00227F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evel2Char">
    <w:name w:val="Level 2 Char"/>
    <w:link w:val="Level2"/>
    <w:locked/>
    <w:rsid w:val="00227F3E"/>
    <w:rPr>
      <w:rFonts w:ascii="Arial" w:eastAsia="SimSun" w:hAnsi="Arial" w:cs="Times New Roman"/>
      <w:kern w:val="20"/>
      <w:sz w:val="20"/>
      <w:szCs w:val="24"/>
      <w:lang w:val="en-GB" w:eastAsia="x-none"/>
    </w:rPr>
  </w:style>
  <w:style w:type="character" w:customStyle="1" w:styleId="Heading1Char">
    <w:name w:val="Heading 1 Char"/>
    <w:aliases w:val="Heading 11 Char,para0 Char,sstHeading 1 Char"/>
    <w:basedOn w:val="DefaultParagraphFont"/>
    <w:link w:val="Heading1"/>
    <w:uiPriority w:val="9"/>
    <w:rsid w:val="00F13525"/>
    <w:rPr>
      <w:rFonts w:ascii="Times New Roman" w:eastAsia="Times New Roman" w:hAnsi="Times New Roman" w:cs="Times New Roman"/>
      <w:b/>
      <w:bCs/>
      <w:kern w:val="28"/>
      <w:sz w:val="28"/>
      <w:szCs w:val="28"/>
      <w:lang w:eastAsia="fr-FR"/>
    </w:rPr>
  </w:style>
  <w:style w:type="character" w:customStyle="1" w:styleId="Heading2Char">
    <w:name w:val="Heading 2 Char"/>
    <w:aliases w:val="Heading 21 Char,h2 Char,subpara1 Char,sstHeading 2 Char"/>
    <w:basedOn w:val="DefaultParagraphFont"/>
    <w:link w:val="Heading2"/>
    <w:uiPriority w:val="9"/>
    <w:rsid w:val="0061097B"/>
    <w:rPr>
      <w:rFonts w:ascii="Times New Roman" w:hAnsi="Times New Roman" w:cs="Times New Roman"/>
      <w:b/>
      <w:bCs/>
      <w:i/>
      <w:iCs/>
      <w:sz w:val="28"/>
      <w:szCs w:val="28"/>
      <w:u w:val="single"/>
      <w:lang w:val="en-GB" w:eastAsia="fr-FR"/>
    </w:rPr>
  </w:style>
  <w:style w:type="character" w:customStyle="1" w:styleId="Heading3Char">
    <w:name w:val="Heading 3 Char"/>
    <w:aliases w:val="Heading 31 Char,h3 Char,subpara2 Char"/>
    <w:basedOn w:val="DefaultParagraphFont"/>
    <w:link w:val="Heading3"/>
    <w:uiPriority w:val="9"/>
    <w:rsid w:val="00F13525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character" w:customStyle="1" w:styleId="Heading5Char">
    <w:name w:val="Heading 5 Char"/>
    <w:aliases w:val="Heading 51 Char"/>
    <w:basedOn w:val="DefaultParagraphFont"/>
    <w:link w:val="Heading5"/>
    <w:uiPriority w:val="9"/>
    <w:rsid w:val="00F13525"/>
    <w:rPr>
      <w:rFonts w:ascii="Arial" w:eastAsia="Times New Roman" w:hAnsi="Arial" w:cs="Times New Roman"/>
      <w:lang w:eastAsia="fr-FR"/>
    </w:rPr>
  </w:style>
  <w:style w:type="character" w:customStyle="1" w:styleId="Heading6Char">
    <w:name w:val="Heading 6 Char"/>
    <w:basedOn w:val="DefaultParagraphFont"/>
    <w:link w:val="Heading6"/>
    <w:uiPriority w:val="9"/>
    <w:rsid w:val="00F13525"/>
    <w:rPr>
      <w:rFonts w:ascii="Times New Roman" w:eastAsia="Times New Roman" w:hAnsi="Times New Roman" w:cs="Times New Roman"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uiPriority w:val="9"/>
    <w:rsid w:val="00F1352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Heading8Char">
    <w:name w:val="Heading 8 Char"/>
    <w:aliases w:val="Annex Char,Appendix Char,Annex2 Char,Appendix1 Char,Annex3 Char,Appendix2 Char,Annex4 Char,Appendix3 Char,Annex5 Char,Appendix4 Char,Annex6 Char,Appendix5 Char"/>
    <w:basedOn w:val="DefaultParagraphFont"/>
    <w:link w:val="Heading8"/>
    <w:uiPriority w:val="9"/>
    <w:rsid w:val="00F13525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Heading9Char">
    <w:name w:val="Heading 9 Char"/>
    <w:aliases w:val="Annex1 Char,Appen 1 Char,Annex11 Char,Appen 11 Char,Annex12 Char,Appen 12 Char,Annex13 Char,Appen 13 Char,Annex14 Char,Appen 14 Char,Annex15 Char,Appen 15 Char,Titre Annexe Char"/>
    <w:basedOn w:val="DefaultParagraphFont"/>
    <w:link w:val="Heading9"/>
    <w:uiPriority w:val="9"/>
    <w:rsid w:val="00F13525"/>
    <w:rPr>
      <w:rFonts w:ascii="Arial" w:eastAsia="Times New Roman" w:hAnsi="Arial" w:cs="Times New Roman"/>
      <w:b/>
      <w:bCs/>
      <w:i/>
      <w:iCs/>
      <w:sz w:val="18"/>
      <w:szCs w:val="18"/>
      <w:lang w:eastAsia="fr-FR"/>
    </w:rPr>
  </w:style>
  <w:style w:type="paragraph" w:styleId="Caption">
    <w:name w:val="caption"/>
    <w:basedOn w:val="Normal"/>
    <w:next w:val="Normal"/>
    <w:qFormat/>
    <w:rsid w:val="00F13525"/>
    <w:pPr>
      <w:spacing w:after="120" w:line="240" w:lineRule="auto"/>
      <w:jc w:val="right"/>
    </w:pPr>
    <w:rPr>
      <w:rFonts w:ascii="Arial" w:eastAsia="Times New Roman" w:hAnsi="Arial" w:cs="Times New Roman"/>
      <w:i/>
      <w:sz w:val="20"/>
      <w:szCs w:val="20"/>
      <w:lang w:val="de-DE" w:eastAsia="de-DE"/>
    </w:rPr>
  </w:style>
  <w:style w:type="table" w:styleId="TableGrid">
    <w:name w:val="Table Grid"/>
    <w:basedOn w:val="TableNormal"/>
    <w:uiPriority w:val="39"/>
    <w:rsid w:val="006D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2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263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32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9A6C-0348-4049-9A5D-C82A30F6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Touch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Salem Itani</dc:creator>
  <cp:keywords/>
  <dc:description/>
  <cp:lastModifiedBy>Hazem El Khansa</cp:lastModifiedBy>
  <cp:revision>4</cp:revision>
  <dcterms:created xsi:type="dcterms:W3CDTF">2024-03-20T06:30:00Z</dcterms:created>
  <dcterms:modified xsi:type="dcterms:W3CDTF">2024-04-17T10:00:00Z</dcterms:modified>
</cp:coreProperties>
</file>